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F6B" w:rsidRDefault="00C0023F">
      <w:pPr>
        <w:ind w:firstLineChars="150" w:firstLine="316"/>
        <w:rPr>
          <w:b/>
        </w:rPr>
      </w:pPr>
      <w:r>
        <w:rPr>
          <w:rFonts w:hint="eastAsia"/>
          <w:b/>
        </w:rPr>
        <w:t>招标技术要求书</w:t>
      </w:r>
    </w:p>
    <w:p w:rsidR="00C0023F" w:rsidRPr="00C0023F" w:rsidRDefault="00C0023F" w:rsidP="00C0023F">
      <w:pPr>
        <w:pStyle w:val="2"/>
        <w:rPr>
          <w:rFonts w:hint="eastAsia"/>
        </w:rPr>
      </w:pPr>
    </w:p>
    <w:tbl>
      <w:tblPr>
        <w:tblW w:w="14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1135"/>
        <w:gridCol w:w="8080"/>
        <w:gridCol w:w="709"/>
        <w:gridCol w:w="3407"/>
      </w:tblGrid>
      <w:tr w:rsidR="00C0023F" w:rsidTr="00B35621">
        <w:trPr>
          <w:trHeight w:val="718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序号</w:t>
            </w:r>
          </w:p>
        </w:tc>
        <w:tc>
          <w:tcPr>
            <w:tcW w:w="1135" w:type="dxa"/>
            <w:vAlign w:val="center"/>
          </w:tcPr>
          <w:p w:rsidR="00C0023F" w:rsidRDefault="00C35C62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设备</w:t>
            </w:r>
            <w:bookmarkStart w:id="0" w:name="_GoBack"/>
            <w:bookmarkEnd w:id="0"/>
            <w:r w:rsidR="00C0023F">
              <w:rPr>
                <w:rFonts w:hint="eastAsia"/>
                <w:b/>
                <w:color w:val="000000" w:themeColor="text1"/>
              </w:rPr>
              <w:t>名称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主要功能和</w:t>
            </w:r>
            <w:r>
              <w:rPr>
                <w:rFonts w:hint="eastAsia"/>
                <w:b/>
                <w:color w:val="000000" w:themeColor="text1"/>
              </w:rPr>
              <w:t>规格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数量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备注</w:t>
            </w:r>
          </w:p>
        </w:tc>
      </w:tr>
      <w:tr w:rsidR="00C0023F" w:rsidTr="00B35621">
        <w:trPr>
          <w:trHeight w:val="680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proofErr w:type="gramStart"/>
            <w:r>
              <w:rPr>
                <w:rFonts w:hint="eastAsia"/>
                <w:color w:val="000000" w:themeColor="text1"/>
                <w:szCs w:val="21"/>
              </w:rPr>
              <w:t>具身智能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双臂</w:t>
            </w:r>
            <w:proofErr w:type="gramStart"/>
            <w:r>
              <w:rPr>
                <w:rFonts w:hint="eastAsia"/>
                <w:color w:val="000000" w:themeColor="text1"/>
                <w:szCs w:val="21"/>
              </w:rPr>
              <w:t>数采系统</w:t>
            </w:r>
            <w:proofErr w:type="gramEnd"/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一、超轻量机械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臂系统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套六自由度超轻量协作机械臂，采用铝合金材质，工作半径不小于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600mm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，额定负载不低于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5kg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，重复定位精度达到±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0.05mm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。控制器集成于机械臂本体，整机轻量化设计，支持拖动示教、示教器控制及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API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控制等多种操作方式。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臂支持</w:t>
            </w:r>
            <w:proofErr w:type="spellStart"/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WiFi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、网口、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USB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串口、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RS485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等多种通信方式，兼容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C++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Python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等编程语言，可满足教学、科研及二次开发需求。系统支持</w:t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MoveIt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运动规划、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ROS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功能包及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URDF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模型，并提供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Windows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Linux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双平台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SDK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及相关开发文档。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机械臂末端集成深度相机与可复用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IO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接口，支持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MODBUS RTU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协议通信，可实现视觉感知与智能交互功能。系统具备断电零位保存、异常保护及诊断维护功能。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二、深度视觉系统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套深度相机作为全局相机，支持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米以内深度感知，具备大视场角、高分辨率及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30fps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实时采集能力，可满足机器人视觉识别、场景感知及操作任务需求。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三、末端执行器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套电动夹爪，支持</w:t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ModbusRTU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IO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控制方式，具备较高重复定位精度与快速响应能力，可满足抓取、搬运及操作类任务需求。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四、操作主臂系统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与从臂同构型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的操作主臂（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条主臂），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支持零力拖动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与高频角度透传，可实现机器人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遥操作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与示教采集。系统采用总线舵机设计，具备重力补偿功能及光电自动感应启动功能，可提升操作稳定性与采集效率。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五、配套附件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配套提供供电电缆、通信线缆及电源适配器等附件，满足系统整体部署与运行需求。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六、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具身智能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软件平台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软件平台包含数据采集、模型学习、模型管理及推理验证四大模块。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 xml:space="preserve">1.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数据采集模块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支持双臂操作数据统一管理，可实现数据回放、下载、删除及采集信息查看等功能。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 xml:space="preserve">2.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模型学习模块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支持基于采集数据的一键式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VLA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模型训练，并实时展示训练过程中的损失函数、梯度变化、训练进度等关键指标。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 xml:space="preserve">3.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模型管理模块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支持训练模型的统一归档、调用与管理，兼容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ACT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Pi0.5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等模型，支持模型评价、下载及推理验证。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 xml:space="preserve">4.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推理验证模块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支持在双臂上调用训练完成的模型执行推理任务，并实时显示视觉画面、动作轨迹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及夹爪状态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等信息。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lastRenderedPageBreak/>
              <w:t>1</w:t>
            </w:r>
          </w:p>
        </w:tc>
        <w:tc>
          <w:tcPr>
            <w:tcW w:w="3407" w:type="dxa"/>
            <w:vAlign w:val="center"/>
          </w:tcPr>
          <w:p w:rsidR="00C0023F" w:rsidRDefault="00C0023F" w:rsidP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让学生学习</w:t>
            </w:r>
            <w:proofErr w:type="gramStart"/>
            <w:r>
              <w:rPr>
                <w:rFonts w:hint="eastAsia"/>
                <w:color w:val="000000" w:themeColor="text1"/>
                <w:szCs w:val="21"/>
              </w:rPr>
              <w:t>掌握具身智能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采集</w:t>
            </w:r>
            <w:r>
              <w:rPr>
                <w:rFonts w:hint="eastAsia"/>
                <w:color w:val="000000" w:themeColor="text1"/>
                <w:szCs w:val="21"/>
              </w:rPr>
              <w:t>-</w:t>
            </w:r>
            <w:r>
              <w:rPr>
                <w:rFonts w:hint="eastAsia"/>
                <w:color w:val="000000" w:themeColor="text1"/>
                <w:szCs w:val="21"/>
              </w:rPr>
              <w:t>训练</w:t>
            </w:r>
            <w:r>
              <w:rPr>
                <w:rFonts w:hint="eastAsia"/>
                <w:color w:val="000000" w:themeColor="text1"/>
                <w:szCs w:val="21"/>
              </w:rPr>
              <w:t>-</w:t>
            </w:r>
            <w:r>
              <w:rPr>
                <w:rFonts w:hint="eastAsia"/>
                <w:color w:val="000000" w:themeColor="text1"/>
                <w:szCs w:val="21"/>
              </w:rPr>
              <w:t>推理完整流程。</w:t>
            </w:r>
          </w:p>
        </w:tc>
      </w:tr>
      <w:tr w:rsidR="00C0023F" w:rsidTr="00B35621">
        <w:trPr>
          <w:trHeight w:val="629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proofErr w:type="gramStart"/>
            <w:r>
              <w:rPr>
                <w:rFonts w:hint="eastAsia"/>
                <w:color w:val="000000" w:themeColor="text1"/>
                <w:szCs w:val="21"/>
              </w:rPr>
              <w:t>远程遥操作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机器人交互平台</w:t>
            </w:r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一、系统组成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系统由双臂人形机器人本体、两指平行夹爪、深度视觉系统、广角视觉系统、显示屏及移动式双臂遥操作系统组成，具备移动操作、视觉感知、人机交互及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远程遥操作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能力。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二、整机性能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机器人采用仿人化双臂结构设计，具备腰部、腿部及头部多自由度运动能力，可实现复杂环境下的灵活移动与协同操作。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系统具备：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个全身自由度；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垂直操作高度不低于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2100mm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双臂大范围协同作业能力；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腰部旋转、俯仰及侧摆功能；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腿部折叠升降能力；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两轮差速移动控制；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最大移动速度不低于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1.5m/s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支持复杂场景移动与精细操作任务。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三、人形双臂机械臂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套七自由度人形机械臂，采用铝合金轻量化设计，工作半径不低于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700mm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，额定负载不低于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4.5kg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，重复定位精度达到±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0.2mm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臂分为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左臂和右臂，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J7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关节运动范围对称。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机械臂支持：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拖动示教；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示教器控制；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API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多协议通信；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ROS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MoveIt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运动规划；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多平台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SDK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系统兼容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C++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C#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Python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等主流开发语言，支持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Windows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Linux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双平台二次开发。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机械臂末端集成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IO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接口、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RS485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通信接口及六维力传感器，可实现力反馈控制与柔顺操作。末端同时集成深度视觉模组，实现目标识别、空间定位与抓取引导功能。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系统具备断电零位保存、异常保护及诊断维护能力。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四、智能主控系统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系统配置高性能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主控平台，采用多核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ARM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架构处理器与高性能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GPU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设计，具备不低于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275TOPS AI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算力，可满足机器人视觉感知、运动控制及智能推理需求。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主控系统搭载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Ubuntu 20.04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操作系统，配备大容量内存与高速存储，可支持复杂机器人算法与多任务协同运行。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五、视觉感知系统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系统集成深度相机与多组广角相机，实现机器人环境感知、目标识别与视觉交互功能。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深度视觉系统支持：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高清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RGB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与深度图像采集；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大视场角覆盖；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30fps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实时数据输出；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多视角空间感知。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广角相机支持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180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°大范围环境监测，可实现机器人周边场景感知与远程操作辅助显示。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六、夹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持执行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系统配置两指平行夹爪，支持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Modbus-RTU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IO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控制方式，具备高重复定位精度、快速响应能力及可调夹持力，可满足多种抓取与操作任务需求。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七、移动底盘系统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机器人采用两轮差速驱动底盘，支持平稳移动、原地转向及复杂场景通行，具备一定爬坡能力与多速度调节能力，可满足室内移动操作需求。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八、遥操作系统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系统配套移动式双臂遥操作系统，包括双主操作臂、移动支架及控制系统。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遥操作臂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与机器人本体的机械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臂采用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同构设计，分为左臂和右臂，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J7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关节运动范围对称，末端配套专用手柄，支持双臂动作实时映射与远程控制，可用于：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机器人遥操作；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动作示教；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数据采集；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复杂任务训练；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人机协同操作等应用场景。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遥操作系统支持多种控制方式、通信协议及主流开发语言，并集成遥控手柄，实现自然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交互与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精准控制。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lastRenderedPageBreak/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让学生学习机器人系统组成，</w:t>
            </w:r>
            <w:proofErr w:type="gramStart"/>
            <w:r>
              <w:rPr>
                <w:rFonts w:hint="eastAsia"/>
                <w:color w:val="000000" w:themeColor="text1"/>
                <w:szCs w:val="21"/>
              </w:rPr>
              <w:t>远程遥操作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机器人技术原理，</w:t>
            </w:r>
            <w:proofErr w:type="gramStart"/>
            <w:r>
              <w:rPr>
                <w:rFonts w:hint="eastAsia"/>
                <w:color w:val="000000" w:themeColor="text1"/>
                <w:szCs w:val="21"/>
              </w:rPr>
              <w:t>远程遥操作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实践，机器人真机数据采集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bookmarkStart w:id="1" w:name="OLE_LINK1"/>
            <w:r>
              <w:rPr>
                <w:rFonts w:hint="eastAsia"/>
                <w:color w:val="000000" w:themeColor="text1"/>
                <w:szCs w:val="21"/>
              </w:rPr>
              <w:t>机器人闪电仓</w:t>
            </w:r>
            <w:bookmarkEnd w:id="1"/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一、系统组成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系统由拣选机器人、管理调度系统、在线下单支付系统以及场地部署调试服务组成，可实现商品拣货、出货、机器人调度与智慧零售运营管理。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二、拣选机器人平台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系统由移动底盘、升降机构、六自由度协作机械臂、工业一体机、双目深度相机及真空吸附执行系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统组成，具备自主移动、升降操作、视觉识别及智能抓取能力。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系统配置多组气泵、吸盘及电磁阀，可实现目标物体吸附、搬运与操作任务。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．整机性能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机器人采用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钣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金与工程塑料外壳设计，整体结构稳定，支持工业场景部署与长期运行。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系统具备：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高度集成移动操作能力；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多接口设备扩展能力；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工业级急停与安全控制；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宽温环境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运行能力；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AC220V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标准供电；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Windows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操作终端控制。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机器人支持网口、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USB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HDMI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等标准接口，可满足视觉、控制与显示等多设备接入需求。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2.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六自由度协作机械臂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超轻量六自由度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协作机械臂，采用铝合金轻量化设计，工作半径不低于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600mm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，额定负载不低于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5kg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，重复定位精度达到±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0.05mm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机械臂控制器集成于本体，支持：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拖动示教；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示教器控制；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API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控制；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WiFi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、网口、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USB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串口及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RS485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通信；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ROS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与</w:t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MoveIt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运动规划；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多平台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SDK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系统兼容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C++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C#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Python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等主流开发语言，并提供相关开发示例与文档资源。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机械臂末端集成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IO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接口、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RS485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通信接口及六维力传感器，可实现末端力反馈控制与柔顺操作，支持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MODBUS RTU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协议通信。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系统同时具备碰撞检测、硬件自检、工具标定、坐标系标定及力传感器标定等功能。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．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视觉感知系统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</w:t>
            </w:r>
            <w:proofErr w:type="spellStart"/>
            <w:r>
              <w:rPr>
                <w:rFonts w:hint="eastAsia"/>
                <w:color w:val="000000" w:themeColor="text1"/>
                <w:sz w:val="18"/>
                <w:szCs w:val="18"/>
              </w:rPr>
              <w:t>Realsense</w:t>
            </w:r>
            <w:proofErr w:type="spellEnd"/>
            <w:r>
              <w:rPr>
                <w:rFonts w:hint="eastAsia"/>
                <w:color w:val="000000" w:themeColor="text1"/>
                <w:sz w:val="18"/>
                <w:szCs w:val="18"/>
              </w:rPr>
              <w:t>双目深度相机，可实现目标识别、空间定位及抓取引导功能，满足机器人智能视觉操作需求。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4.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移动与升降系统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机器人采用移动底盘与升降柱一体化设计，可实现移动操作与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多高度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作业。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系统具备：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平稳移动能力；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升降调节能力；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多场景部署适应能力；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工业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级稳定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运行能力。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 xml:space="preserve">4.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智能抓取执行系统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系统配置真空吸附执行机构，包括气泵、吸盘及电磁阀组件，可实现多类型目标的稳定吸附与搬运操作，适用于分拣、抓取及上下料等应用场景。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三、管理调度系统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系统提供统一管理调度平台，包含：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门店管理；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机器人管理；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任务管理；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商品管理；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站点管理；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系统日志；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低代码配置平台等功能模块。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平台支持机器人任务调度、业务流程管理及便利店运营管理。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四、在线下单支付系统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系统支持用户在线下单、订单处理及在线支付等完整业务流程，可实现智慧零售场景下的自动化商品配送与结算服务。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lastRenderedPageBreak/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让学生学习智慧零售、物流场景的真实应用，在真实场景中</w:t>
            </w:r>
            <w:proofErr w:type="gramStart"/>
            <w:r>
              <w:rPr>
                <w:rFonts w:hint="eastAsia"/>
                <w:color w:val="000000" w:themeColor="text1"/>
                <w:szCs w:val="21"/>
              </w:rPr>
              <w:t>学习具身智能</w:t>
            </w:r>
            <w:proofErr w:type="gramEnd"/>
            <w:r>
              <w:rPr>
                <w:rFonts w:hint="eastAsia"/>
                <w:color w:val="000000" w:themeColor="text1"/>
                <w:szCs w:val="21"/>
              </w:rPr>
              <w:t>技术体系和技术原理。</w:t>
            </w:r>
            <w:r>
              <w:rPr>
                <w:rFonts w:hint="eastAsia"/>
                <w:color w:val="000000" w:themeColor="text1"/>
                <w:szCs w:val="21"/>
              </w:rPr>
              <w:t xml:space="preserve"> 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4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无人机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DJI Mini5 Pro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畅飞套装；整机重量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249g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1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英寸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CMOS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5000 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万像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素照片，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60P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视频，全向避障，无损竖拍，长续航电池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，遥控器、全套配件、收纳包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、整机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249g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，符合民航相关管理规范，院校实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训使用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门槛低，适合学生航拍入门教学；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1 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英寸大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底传感器，拍照、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4K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视频画质优秀，支持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RAW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格式照片，航拍素材可直接用于宣传片、微电影、数字文创、三维环境贴图采集；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、全向避障，降低学生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实训炸机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风险，适合零基础学生分组实操训练；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、智能环绕、渐远、延时等智能运镜模式，用于讲解航拍构图、镜头语言，支撑《数字视频制作》《摄影基础》课程；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、畅飞套装配备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3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块电池，保障小组外出实训续航，全套配件到手即可开展实训；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、作为机位补充，获得高空俯视镜头，丰富作品镜头语言，服务课程作业、毕业设计、校园宣传片、学科竞赛项目。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5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大疆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Mic Mini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无线麦克风（相机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+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手机两用一拖二套装）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DJI Mic Mini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，两发一收，带充电盒；接收器支持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3.5mm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相机接口、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Type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C /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手机数字接口；双发射器，两级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AI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降噪，自动限幅防爆音，兼容佳能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R50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Pocket4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Action6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；含防风毛套、热靴转接件、音频连接线、充电收纳盒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、相机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手机双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兼容，可直接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接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微单、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大疆口袋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/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运动相机，也可接手机拍摄；满足双人采访、双人同期录音教学实训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DJI Store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和大疆影像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设备生态适配，连接稳定，体积小巧，佩戴轻便。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、具备降噪、防爆音功能，减少采访、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微电影录音爆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音问题，保障音频素材质量，音频文件可直接导入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PR/AU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后期处理。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、带充电收纳盒，集中充电收纳，实训室多人借用方便管理。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大疆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Mic Mini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无线麦克风（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手机版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一拖二套装）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DJI Mic Mini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手机版，两发一收，充电盒；接收器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Type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C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数字接口，适配手机、电脑；双发射器，两级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AI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降噪，自动限幅，全套配件、充电收纳盒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、专门面向手机短视频、手机采访实训，用于学生手机拍摄作业录音，双人对话收音。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、数字输出，手机端录音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底噪低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，操作简单，适合新媒体短视频课程实训。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、充电盒收纳，便于小组外出采风携带，作为第二套备用收音设备。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猛犸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LARK A2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1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套【手机版一拖二】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DJI Mic Mini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手机版，两发一收，充电盒；接收器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Type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C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数字接口，适配手机、电脑；双发射器，两级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AI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降噪，自动限幅，全套配件、充电收纳盒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、高性价比手机端收音设备，具备安全音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轨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备份功能，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主音轨爆音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时备用音轨可用，降低实训素材报废风险。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、三档可调降噪，适配室内、嘈杂户外不同实训环境，用于手机短视频、口播、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探店纪实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类作业。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、作为补充备用麦克风，多套麦克风同时可用，支持多人访谈实训，丰富音频教学对比实验。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手持式补光灯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神牛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ML60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Bi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手持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LED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补光灯；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60W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，双色温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2800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>6500K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CRI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96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，电池手柄供电，配柔光罩，支持手持、支架两用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、可手持外出采风，也可装支架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室内布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光；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、高显色，人像、静物色彩还原准确；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、电池供电，外景无电源环境可使用；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、服务短视频、外景实训，补充主灯。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直播补光灯（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含灯架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神牛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SL150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 xml:space="preserve">IIBi COB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直播补光灯套装；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150W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，双色温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2800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noBreakHyphen/>
              <w:t>6500K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CRI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96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，配柔光箱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+ 2.8m 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灯架，交流供电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、室内直播、人物访谈、静物拍摄主光源；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、亮度充足，光线柔和，适合布光教学；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、套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装配齐灯架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柔光箱，开箱即用；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11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</w:t>
            </w:r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正点原子战舰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STM32F103ZET6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，套餐：战舰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+3.5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寸电容屏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+STM32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下载器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板载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STM32F103ZE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主控芯片，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144PIN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，战舰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板载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16Mbyte SPIFLASH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5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板载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CAN/485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通信接口板载光敏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传感器，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EEPROM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  <w:t>I0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口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除启动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引脚都引出，适合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DIY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和初学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板载一键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下载电路，串口，下载，通信，串口调试多合一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板载可调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电位器，方便实验测试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br/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相比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V3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，硬件进行了多方面改进，更加合理）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《嵌入式程序设计》课程所需核心实训设备，培养学生嵌入式开发基础实际动手能力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开发板传感器模块</w:t>
            </w:r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正点原子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BEE BLOCK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STM32F103C8-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豪华套装（传感器套件）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《嵌入式系统开发与应用》课程所需核心实训设备，培养学生嵌入式开发应用能力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开发板小车</w:t>
            </w:r>
          </w:p>
        </w:tc>
        <w:tc>
          <w:tcPr>
            <w:tcW w:w="8080" w:type="dxa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亚博智能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STM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开发板小车，套餐：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开发板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&amp;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小车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 xml:space="preserve"> 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STM32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多功能开发板、智能小车底盘、小车运动玩法所需传感器，如超声波模块、红外模块等）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《计算机应用技术综合实践》所需实训设备，培养学生综合实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训能力</w:t>
            </w:r>
            <w:proofErr w:type="gramEnd"/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实验工作台及配套桌椅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定制防静电实验台（含电源插座、照明）、实验凳，尺寸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1.2m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0.75m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×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0.75m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实验操作平台，保障实验操作空间及静电防护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防静电设施及工具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防静电手环、防静电地垫、恒温烙铁、吸锡器、镊子、螺丝刀套装等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硬件焊接、板卡维修，保护敏感器件免受静电损伤，保证焊接质量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数字存储示波器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带宽≥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100MHz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通道，采样率≥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1GSa/s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proofErr w:type="gramStart"/>
            <w:r>
              <w:rPr>
                <w:rFonts w:hint="eastAsia"/>
                <w:color w:val="000000" w:themeColor="text1"/>
                <w:sz w:val="18"/>
                <w:szCs w:val="18"/>
              </w:rPr>
              <w:t>标配串行</w:t>
            </w:r>
            <w:proofErr w:type="gramEnd"/>
            <w:r>
              <w:rPr>
                <w:rFonts w:hint="eastAsia"/>
                <w:color w:val="000000" w:themeColor="text1"/>
                <w:sz w:val="18"/>
                <w:szCs w:val="18"/>
              </w:rPr>
              <w:t>总线解码（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²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SPI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UART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7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英寸以上彩色显示屏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嵌入式开发必备调试工具，用于观察和分析电信号波形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任意波形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函数信号发生器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双通道，最高频率≥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60MHz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，采样率≥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1.2GSa/s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16bit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垂直分辨率，支持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AM/FM/PM/FSK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等调制功能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为电路测试提供激励信号，验证电路功能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可编程线性直流电源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三组独立输出：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组可调（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0-30V/0-3A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+1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组固定（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2.5V/3.3V/5V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可选），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4.3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英寸以上显示，支持串并联模式，过载保护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为开发板和实验电路提供稳定可调电源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便携式数字万用表（修订）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½位或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4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位显示，交直流电压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电流、电阻、电容、通断蜂鸣、二极管测试，真有效值，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CAT III 600V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安全等级，配备表笔、鳄鱼夹、热电偶（温度测量），电池供电（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9V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），含便携包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便携式万用表机动灵活、成本低，适合学生在实验台、现场及课外项目中使用，便于分发和管理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20</w:t>
            </w: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逻辑分析仪</w:t>
            </w: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通道，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100MHz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全频宽，支持多种串行协议分析（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²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SPI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UART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CAN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LIN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等）</w:t>
            </w: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多通道数字信号分析，弥补示波器通道数不足</w:t>
            </w:r>
          </w:p>
        </w:tc>
      </w:tr>
      <w:tr w:rsidR="00C0023F" w:rsidTr="00B35621">
        <w:trPr>
          <w:trHeight w:val="665"/>
          <w:jc w:val="center"/>
        </w:trPr>
        <w:tc>
          <w:tcPr>
            <w:tcW w:w="703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</w:p>
        </w:tc>
        <w:tc>
          <w:tcPr>
            <w:tcW w:w="1135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eastAsia="宋体" w:hAnsi="宋体"/>
                <w:color w:val="000000" w:themeColor="text1"/>
                <w:position w:val="6"/>
                <w:szCs w:val="21"/>
              </w:rPr>
            </w:pPr>
          </w:p>
        </w:tc>
        <w:tc>
          <w:tcPr>
            <w:tcW w:w="8080" w:type="dxa"/>
            <w:vAlign w:val="center"/>
          </w:tcPr>
          <w:p w:rsidR="00C0023F" w:rsidRDefault="00C0023F">
            <w:pPr>
              <w:snapToGrid w:val="0"/>
              <w:jc w:val="left"/>
              <w:rPr>
                <w:rFonts w:ascii="宋体" w:eastAsia="宋体" w:hAnsi="宋体"/>
                <w:bCs/>
                <w:color w:val="000000" w:themeColor="text1"/>
                <w:position w:val="6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C0023F" w:rsidRDefault="00C0023F">
            <w:pPr>
              <w:snapToGrid w:val="0"/>
              <w:jc w:val="center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</w:p>
        </w:tc>
        <w:tc>
          <w:tcPr>
            <w:tcW w:w="3407" w:type="dxa"/>
            <w:vAlign w:val="center"/>
          </w:tcPr>
          <w:p w:rsidR="00C0023F" w:rsidRDefault="00C0023F">
            <w:pPr>
              <w:snapToGrid w:val="0"/>
              <w:rPr>
                <w:rFonts w:ascii="宋体" w:hAnsi="宋体"/>
                <w:color w:val="000000" w:themeColor="text1"/>
                <w:position w:val="6"/>
                <w:szCs w:val="21"/>
              </w:rPr>
            </w:pPr>
          </w:p>
        </w:tc>
      </w:tr>
    </w:tbl>
    <w:p w:rsidR="00DF3F6B" w:rsidRDefault="00DF3F6B" w:rsidP="00C0023F">
      <w:pPr>
        <w:pStyle w:val="a4"/>
        <w:ind w:firstLineChars="0" w:firstLine="0"/>
        <w:rPr>
          <w:rFonts w:hint="eastAsia"/>
        </w:rPr>
        <w:sectPr w:rsidR="00DF3F6B">
          <w:footerReference w:type="default" r:id="rId8"/>
          <w:pgSz w:w="16838" w:h="11906" w:orient="landscape"/>
          <w:pgMar w:top="1797" w:right="1089" w:bottom="1797" w:left="1440" w:header="851" w:footer="851" w:gutter="0"/>
          <w:pgNumType w:fmt="numberInDash"/>
          <w:cols w:space="425"/>
          <w:docGrid w:type="linesAndChars" w:linePitch="312"/>
        </w:sectPr>
      </w:pPr>
    </w:p>
    <w:p w:rsidR="00DF3F6B" w:rsidRDefault="00DF3F6B">
      <w:pPr>
        <w:rPr>
          <w:b/>
          <w:sz w:val="36"/>
          <w:szCs w:val="36"/>
        </w:rPr>
      </w:pPr>
    </w:p>
    <w:sectPr w:rsidR="00DF3F6B"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34A" w:rsidRDefault="0089734A">
      <w:r>
        <w:separator/>
      </w:r>
    </w:p>
  </w:endnote>
  <w:endnote w:type="continuationSeparator" w:id="0">
    <w:p w:rsidR="0089734A" w:rsidRDefault="00897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91B562F-C78A-4F06-8A6A-525077DC5C70}"/>
    <w:embedBold r:id="rId2" w:fontKey="{266CEC2A-72D8-4F07-BD51-E11C0DA873D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ngXian">
    <w:altName w:val="宋体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F6B" w:rsidRDefault="00C0052A">
    <w:pPr>
      <w:pStyle w:val="a9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3F6B" w:rsidRDefault="00C0052A">
                          <w:pPr>
                            <w:pStyle w:val="a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35C62">
                            <w:rPr>
                              <w:noProof/>
                            </w:rPr>
                            <w:t>- 8 -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F3F6B" w:rsidRDefault="00C0052A">
                    <w:pPr>
                      <w:pStyle w:val="a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35C62">
                      <w:rPr>
                        <w:noProof/>
                      </w:rPr>
                      <w:t>- 8 -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DF3F6B" w:rsidRDefault="00DF3F6B">
    <w:pPr>
      <w:pStyle w:val="a9"/>
      <w:tabs>
        <w:tab w:val="clear" w:pos="4153"/>
      </w:tabs>
      <w:wordWrap w:val="0"/>
      <w:ind w:right="140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F6B" w:rsidRDefault="00C0052A">
    <w:pPr>
      <w:spacing w:line="187" w:lineRule="auto"/>
      <w:ind w:right="110"/>
      <w:jc w:val="right"/>
      <w:rPr>
        <w:rFonts w:ascii="宋体" w:eastAsia="宋体" w:hAnsi="宋体" w:cs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3F6B" w:rsidRDefault="00C0052A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35621">
                            <w:rPr>
                              <w:noProof/>
                            </w:rP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4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dtFtl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DF3F6B" w:rsidRDefault="00C0052A">
                    <w:pPr>
                      <w:pStyle w:val="a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35621">
                      <w:rPr>
                        <w:noProof/>
                      </w:rPr>
                      <w:t>- 9 -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34A" w:rsidRDefault="0089734A">
      <w:r>
        <w:separator/>
      </w:r>
    </w:p>
  </w:footnote>
  <w:footnote w:type="continuationSeparator" w:id="0">
    <w:p w:rsidR="0089734A" w:rsidRDefault="00897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478C908"/>
    <w:multiLevelType w:val="singleLevel"/>
    <w:tmpl w:val="C478C908"/>
    <w:lvl w:ilvl="0">
      <w:start w:val="2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C7FB5ED3"/>
    <w:multiLevelType w:val="singleLevel"/>
    <w:tmpl w:val="C7FB5ED3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E74F55"/>
    <w:multiLevelType w:val="multilevel"/>
    <w:tmpl w:val="00E74F5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09083869"/>
    <w:multiLevelType w:val="multilevel"/>
    <w:tmpl w:val="09083869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EF131A8"/>
    <w:multiLevelType w:val="multilevel"/>
    <w:tmpl w:val="1EF131A8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5A73C7D"/>
    <w:multiLevelType w:val="multilevel"/>
    <w:tmpl w:val="25A73C7D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FA831A9"/>
    <w:multiLevelType w:val="multilevel"/>
    <w:tmpl w:val="4FA831A9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5D73309"/>
    <w:multiLevelType w:val="multilevel"/>
    <w:tmpl w:val="65D73309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3NDYzMDhiOGQyMTVmMTE1YTQ3YWUwODlkNjNiZWIifQ=="/>
  </w:docVars>
  <w:rsids>
    <w:rsidRoot w:val="69DB3EE5"/>
    <w:rsid w:val="00004B0F"/>
    <w:rsid w:val="0002715B"/>
    <w:rsid w:val="00030380"/>
    <w:rsid w:val="000358D0"/>
    <w:rsid w:val="000C1770"/>
    <w:rsid w:val="000C3499"/>
    <w:rsid w:val="001039AB"/>
    <w:rsid w:val="00116190"/>
    <w:rsid w:val="00116282"/>
    <w:rsid w:val="001570E1"/>
    <w:rsid w:val="001604F2"/>
    <w:rsid w:val="001626D1"/>
    <w:rsid w:val="00166B92"/>
    <w:rsid w:val="00187E2B"/>
    <w:rsid w:val="00197B4A"/>
    <w:rsid w:val="001A06AA"/>
    <w:rsid w:val="001F4F32"/>
    <w:rsid w:val="002104EA"/>
    <w:rsid w:val="00223309"/>
    <w:rsid w:val="002632EC"/>
    <w:rsid w:val="00287F69"/>
    <w:rsid w:val="002B472A"/>
    <w:rsid w:val="002F7A99"/>
    <w:rsid w:val="0030205B"/>
    <w:rsid w:val="00305884"/>
    <w:rsid w:val="00321290"/>
    <w:rsid w:val="003429C3"/>
    <w:rsid w:val="00343D7D"/>
    <w:rsid w:val="00347E0F"/>
    <w:rsid w:val="00354FA6"/>
    <w:rsid w:val="003A73CD"/>
    <w:rsid w:val="003B1602"/>
    <w:rsid w:val="003B5C88"/>
    <w:rsid w:val="003D25EF"/>
    <w:rsid w:val="00403E35"/>
    <w:rsid w:val="00465DA8"/>
    <w:rsid w:val="00465DEB"/>
    <w:rsid w:val="00477F90"/>
    <w:rsid w:val="004A0C2B"/>
    <w:rsid w:val="004B3D7B"/>
    <w:rsid w:val="004C7CA7"/>
    <w:rsid w:val="004D43A8"/>
    <w:rsid w:val="00511A5A"/>
    <w:rsid w:val="00523284"/>
    <w:rsid w:val="00533BCE"/>
    <w:rsid w:val="005402EE"/>
    <w:rsid w:val="00575B80"/>
    <w:rsid w:val="005A1341"/>
    <w:rsid w:val="005A3D21"/>
    <w:rsid w:val="005A429B"/>
    <w:rsid w:val="005D3908"/>
    <w:rsid w:val="005E57B8"/>
    <w:rsid w:val="005F1758"/>
    <w:rsid w:val="00626B87"/>
    <w:rsid w:val="0062720B"/>
    <w:rsid w:val="00670C46"/>
    <w:rsid w:val="006A32B3"/>
    <w:rsid w:val="006A745F"/>
    <w:rsid w:val="006B0F3F"/>
    <w:rsid w:val="006B45A3"/>
    <w:rsid w:val="006C2F0F"/>
    <w:rsid w:val="006C311E"/>
    <w:rsid w:val="0071170A"/>
    <w:rsid w:val="00714604"/>
    <w:rsid w:val="0073609F"/>
    <w:rsid w:val="007414A6"/>
    <w:rsid w:val="00746B3D"/>
    <w:rsid w:val="0076227B"/>
    <w:rsid w:val="00770109"/>
    <w:rsid w:val="00771051"/>
    <w:rsid w:val="00773D9F"/>
    <w:rsid w:val="00777705"/>
    <w:rsid w:val="0078548F"/>
    <w:rsid w:val="00795262"/>
    <w:rsid w:val="007C18E3"/>
    <w:rsid w:val="007D52A6"/>
    <w:rsid w:val="007F7FE1"/>
    <w:rsid w:val="00806F99"/>
    <w:rsid w:val="00812A6C"/>
    <w:rsid w:val="00844681"/>
    <w:rsid w:val="00851A88"/>
    <w:rsid w:val="00855874"/>
    <w:rsid w:val="008631C3"/>
    <w:rsid w:val="00884B9B"/>
    <w:rsid w:val="0089734A"/>
    <w:rsid w:val="008B2C85"/>
    <w:rsid w:val="008D11D1"/>
    <w:rsid w:val="008E2539"/>
    <w:rsid w:val="008E3A3B"/>
    <w:rsid w:val="0092455A"/>
    <w:rsid w:val="009325AE"/>
    <w:rsid w:val="009624BF"/>
    <w:rsid w:val="00965268"/>
    <w:rsid w:val="009A0DC7"/>
    <w:rsid w:val="009A5DD5"/>
    <w:rsid w:val="009C1F87"/>
    <w:rsid w:val="009D4F21"/>
    <w:rsid w:val="00A02362"/>
    <w:rsid w:val="00A21703"/>
    <w:rsid w:val="00A30B6D"/>
    <w:rsid w:val="00A9288A"/>
    <w:rsid w:val="00AB0832"/>
    <w:rsid w:val="00AB72C9"/>
    <w:rsid w:val="00AC34BA"/>
    <w:rsid w:val="00AD3E01"/>
    <w:rsid w:val="00B1254C"/>
    <w:rsid w:val="00B35621"/>
    <w:rsid w:val="00B417C5"/>
    <w:rsid w:val="00B575A5"/>
    <w:rsid w:val="00B65FE6"/>
    <w:rsid w:val="00B70828"/>
    <w:rsid w:val="00B77027"/>
    <w:rsid w:val="00B853A3"/>
    <w:rsid w:val="00BC2D6A"/>
    <w:rsid w:val="00BC7467"/>
    <w:rsid w:val="00BD2DB0"/>
    <w:rsid w:val="00C0023F"/>
    <w:rsid w:val="00C0052A"/>
    <w:rsid w:val="00C13026"/>
    <w:rsid w:val="00C14C5A"/>
    <w:rsid w:val="00C35C62"/>
    <w:rsid w:val="00C8147C"/>
    <w:rsid w:val="00C83D01"/>
    <w:rsid w:val="00C930A7"/>
    <w:rsid w:val="00CA612A"/>
    <w:rsid w:val="00CB0D16"/>
    <w:rsid w:val="00CB4CEE"/>
    <w:rsid w:val="00CB5102"/>
    <w:rsid w:val="00CB5BDE"/>
    <w:rsid w:val="00D000BC"/>
    <w:rsid w:val="00D20C5E"/>
    <w:rsid w:val="00D242DB"/>
    <w:rsid w:val="00D25952"/>
    <w:rsid w:val="00DA2CDA"/>
    <w:rsid w:val="00DA51ED"/>
    <w:rsid w:val="00DC17EA"/>
    <w:rsid w:val="00DC2F5D"/>
    <w:rsid w:val="00DD49D1"/>
    <w:rsid w:val="00DE07DE"/>
    <w:rsid w:val="00DF3F6B"/>
    <w:rsid w:val="00E05B17"/>
    <w:rsid w:val="00E64D87"/>
    <w:rsid w:val="00E77FC9"/>
    <w:rsid w:val="00E84F1D"/>
    <w:rsid w:val="00EC21B1"/>
    <w:rsid w:val="00F22AAE"/>
    <w:rsid w:val="00F44D84"/>
    <w:rsid w:val="00F531F4"/>
    <w:rsid w:val="00F60844"/>
    <w:rsid w:val="00F64778"/>
    <w:rsid w:val="00FA4220"/>
    <w:rsid w:val="00FB1A26"/>
    <w:rsid w:val="00FC7A31"/>
    <w:rsid w:val="01340C09"/>
    <w:rsid w:val="02BC33A7"/>
    <w:rsid w:val="02DB32DB"/>
    <w:rsid w:val="031B1BB7"/>
    <w:rsid w:val="048258FC"/>
    <w:rsid w:val="04B677B5"/>
    <w:rsid w:val="062B3262"/>
    <w:rsid w:val="06B238FA"/>
    <w:rsid w:val="07DE10EA"/>
    <w:rsid w:val="08BA2EC8"/>
    <w:rsid w:val="098A290C"/>
    <w:rsid w:val="09B3464D"/>
    <w:rsid w:val="0A917CCA"/>
    <w:rsid w:val="0AFC15E8"/>
    <w:rsid w:val="0BD8273C"/>
    <w:rsid w:val="0CA159D4"/>
    <w:rsid w:val="0D266EB6"/>
    <w:rsid w:val="0E317059"/>
    <w:rsid w:val="104E48F7"/>
    <w:rsid w:val="12B96010"/>
    <w:rsid w:val="132D2C84"/>
    <w:rsid w:val="14123C2A"/>
    <w:rsid w:val="16276842"/>
    <w:rsid w:val="165F6CC0"/>
    <w:rsid w:val="16A0117F"/>
    <w:rsid w:val="18305021"/>
    <w:rsid w:val="18F84BEB"/>
    <w:rsid w:val="19674E0C"/>
    <w:rsid w:val="19E82D37"/>
    <w:rsid w:val="1A7D3DC7"/>
    <w:rsid w:val="1AF97178"/>
    <w:rsid w:val="1C2862CC"/>
    <w:rsid w:val="1E234C86"/>
    <w:rsid w:val="1FA87BED"/>
    <w:rsid w:val="20016901"/>
    <w:rsid w:val="209D21D0"/>
    <w:rsid w:val="2156677D"/>
    <w:rsid w:val="22743D02"/>
    <w:rsid w:val="22C53CAE"/>
    <w:rsid w:val="233178C0"/>
    <w:rsid w:val="23675615"/>
    <w:rsid w:val="254774AC"/>
    <w:rsid w:val="25AB0D1D"/>
    <w:rsid w:val="26DD3563"/>
    <w:rsid w:val="28165E65"/>
    <w:rsid w:val="29455AB0"/>
    <w:rsid w:val="2CC7665D"/>
    <w:rsid w:val="2D0363AE"/>
    <w:rsid w:val="2EC403A1"/>
    <w:rsid w:val="2F2C7572"/>
    <w:rsid w:val="2F8F217B"/>
    <w:rsid w:val="2FC63F75"/>
    <w:rsid w:val="2FE853E7"/>
    <w:rsid w:val="2FF1463C"/>
    <w:rsid w:val="319B7DD7"/>
    <w:rsid w:val="32D06D32"/>
    <w:rsid w:val="33EC7B9C"/>
    <w:rsid w:val="34B91120"/>
    <w:rsid w:val="3503591B"/>
    <w:rsid w:val="35170D64"/>
    <w:rsid w:val="35EC0BFE"/>
    <w:rsid w:val="366713F6"/>
    <w:rsid w:val="370E607B"/>
    <w:rsid w:val="371E2DFF"/>
    <w:rsid w:val="39D465EB"/>
    <w:rsid w:val="3B3620C5"/>
    <w:rsid w:val="3BB64A9F"/>
    <w:rsid w:val="3CC400D8"/>
    <w:rsid w:val="3E8E6450"/>
    <w:rsid w:val="42F5520F"/>
    <w:rsid w:val="432F47B6"/>
    <w:rsid w:val="433A7533"/>
    <w:rsid w:val="434D7F2B"/>
    <w:rsid w:val="444E14FE"/>
    <w:rsid w:val="448A3601"/>
    <w:rsid w:val="465B7866"/>
    <w:rsid w:val="474653BD"/>
    <w:rsid w:val="477737C9"/>
    <w:rsid w:val="47E935D3"/>
    <w:rsid w:val="49A735D6"/>
    <w:rsid w:val="4BDF67D6"/>
    <w:rsid w:val="4E0F475B"/>
    <w:rsid w:val="4E53727D"/>
    <w:rsid w:val="4F7828EE"/>
    <w:rsid w:val="4FA163E4"/>
    <w:rsid w:val="510604B2"/>
    <w:rsid w:val="5146514E"/>
    <w:rsid w:val="51B41306"/>
    <w:rsid w:val="533E4B87"/>
    <w:rsid w:val="53C946A9"/>
    <w:rsid w:val="53CF7626"/>
    <w:rsid w:val="561020D7"/>
    <w:rsid w:val="57F830DC"/>
    <w:rsid w:val="59AC10B0"/>
    <w:rsid w:val="59E44CEE"/>
    <w:rsid w:val="5A9E284F"/>
    <w:rsid w:val="5AA65429"/>
    <w:rsid w:val="5B765E19"/>
    <w:rsid w:val="5B961993"/>
    <w:rsid w:val="5D1A788D"/>
    <w:rsid w:val="5DA30703"/>
    <w:rsid w:val="5E8545C5"/>
    <w:rsid w:val="5F9D0C73"/>
    <w:rsid w:val="629D22F2"/>
    <w:rsid w:val="629E10B1"/>
    <w:rsid w:val="640508DE"/>
    <w:rsid w:val="645C2560"/>
    <w:rsid w:val="64986E00"/>
    <w:rsid w:val="69C010D2"/>
    <w:rsid w:val="69DB3EE5"/>
    <w:rsid w:val="6C0B663E"/>
    <w:rsid w:val="6E076DA5"/>
    <w:rsid w:val="6EEC256C"/>
    <w:rsid w:val="6FDA4214"/>
    <w:rsid w:val="715F7E7D"/>
    <w:rsid w:val="71841E1B"/>
    <w:rsid w:val="724620DE"/>
    <w:rsid w:val="72CA1EA6"/>
    <w:rsid w:val="72CA6EE6"/>
    <w:rsid w:val="7359786E"/>
    <w:rsid w:val="743A5587"/>
    <w:rsid w:val="765338FF"/>
    <w:rsid w:val="7B9854E0"/>
    <w:rsid w:val="7D0C7F34"/>
    <w:rsid w:val="7D772F67"/>
    <w:rsid w:val="7D7D673C"/>
    <w:rsid w:val="7DDD542C"/>
    <w:rsid w:val="7E01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243D97"/>
  <w15:docId w15:val="{8A0E5405-A359-409E-ADEC-EBA8EAE2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6" w:uiPriority="39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uiPriority="99" w:unhideWhenUsed="1" w:qFormat="1"/>
    <w:lsdException w:name="Subtitle" w:qFormat="1"/>
    <w:lsdException w:name="Body Text First Indent" w:qFormat="1"/>
    <w:lsdException w:name="Body Text Firs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Definition" w:qFormat="1"/>
    <w:lsdException w:name="HTML Keyboard" w:qFormat="1"/>
    <w:lsdException w:name="HTML Samp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0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4"/>
    <w:qFormat/>
    <w:pPr>
      <w:ind w:firstLine="420"/>
    </w:pPr>
    <w:rPr>
      <w:rFonts w:ascii="仿宋_GB2312" w:eastAsia="仿宋_GB2312"/>
      <w:szCs w:val="28"/>
    </w:rPr>
  </w:style>
  <w:style w:type="paragraph" w:styleId="a3">
    <w:name w:val="Body Text Indent"/>
    <w:basedOn w:val="a"/>
    <w:next w:val="a"/>
    <w:uiPriority w:val="99"/>
    <w:unhideWhenUsed/>
    <w:qFormat/>
    <w:pPr>
      <w:spacing w:after="120"/>
      <w:ind w:leftChars="200" w:left="420"/>
    </w:pPr>
  </w:style>
  <w:style w:type="paragraph" w:styleId="a4">
    <w:name w:val="Body Text First Indent"/>
    <w:basedOn w:val="a5"/>
    <w:next w:val="6"/>
    <w:link w:val="a6"/>
    <w:qFormat/>
    <w:pPr>
      <w:ind w:firstLineChars="200" w:firstLine="200"/>
    </w:pPr>
  </w:style>
  <w:style w:type="paragraph" w:styleId="a5">
    <w:name w:val="Body Text"/>
    <w:basedOn w:val="a"/>
    <w:next w:val="a"/>
    <w:unhideWhenUsed/>
    <w:qFormat/>
    <w:pPr>
      <w:spacing w:after="120"/>
    </w:pPr>
  </w:style>
  <w:style w:type="paragraph" w:styleId="6">
    <w:name w:val="toc 6"/>
    <w:basedOn w:val="a"/>
    <w:next w:val="a"/>
    <w:uiPriority w:val="39"/>
    <w:unhideWhenUsed/>
    <w:qFormat/>
    <w:pPr>
      <w:widowControl/>
      <w:ind w:left="1200"/>
      <w:jc w:val="left"/>
    </w:pPr>
    <w:rPr>
      <w:rFonts w:ascii="DengXian" w:eastAsia="DengXian" w:hAnsi="宋体"/>
      <w:sz w:val="18"/>
      <w:szCs w:val="18"/>
    </w:rPr>
  </w:style>
  <w:style w:type="paragraph" w:styleId="a7">
    <w:name w:val="annotation text"/>
    <w:basedOn w:val="a"/>
    <w:link w:val="a8"/>
    <w:qFormat/>
    <w:pPr>
      <w:jc w:val="left"/>
    </w:pPr>
  </w:style>
  <w:style w:type="paragraph" w:styleId="a9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a"/>
    <w:next w:val="a"/>
    <w:qFormat/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7"/>
    <w:next w:val="a7"/>
    <w:link w:val="ad"/>
    <w:qFormat/>
    <w:rPr>
      <w:b/>
      <w:bCs/>
    </w:rPr>
  </w:style>
  <w:style w:type="table" w:styleId="ae">
    <w:name w:val="Table Grid"/>
    <w:basedOn w:val="a1"/>
    <w:uiPriority w:val="99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qFormat/>
    <w:rPr>
      <w:b/>
    </w:rPr>
  </w:style>
  <w:style w:type="character" w:styleId="af0">
    <w:name w:val="page number"/>
    <w:basedOn w:val="a0"/>
    <w:qFormat/>
  </w:style>
  <w:style w:type="character" w:styleId="af1">
    <w:name w:val="FollowedHyperlink"/>
    <w:basedOn w:val="a0"/>
    <w:qFormat/>
    <w:rPr>
      <w:color w:val="4D7AD8"/>
      <w:u w:val="none"/>
    </w:rPr>
  </w:style>
  <w:style w:type="character" w:styleId="af2">
    <w:name w:val="Emphasis"/>
    <w:basedOn w:val="a0"/>
    <w:qFormat/>
    <w:rPr>
      <w:i/>
    </w:rPr>
  </w:style>
  <w:style w:type="character" w:styleId="HTML">
    <w:name w:val="HTML Definition"/>
    <w:basedOn w:val="a0"/>
    <w:qFormat/>
    <w:rPr>
      <w:i/>
    </w:rPr>
  </w:style>
  <w:style w:type="character" w:styleId="af3">
    <w:name w:val="Hyperlink"/>
    <w:basedOn w:val="a0"/>
    <w:qFormat/>
    <w:rPr>
      <w:color w:val="4D7AD8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000000"/>
      <w:sz w:val="21"/>
      <w:szCs w:val="21"/>
      <w:bdr w:val="single" w:sz="6" w:space="0" w:color="D9D9D9"/>
      <w:shd w:val="clear" w:color="auto" w:fill="FFFFFF"/>
    </w:rPr>
  </w:style>
  <w:style w:type="character" w:styleId="af4">
    <w:name w:val="annotation reference"/>
    <w:basedOn w:val="a0"/>
    <w:qFormat/>
    <w:rPr>
      <w:sz w:val="21"/>
      <w:szCs w:val="21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paragraph" w:customStyle="1" w:styleId="Bodytext1">
    <w:name w:val="Body text|1"/>
    <w:basedOn w:val="a"/>
    <w:qFormat/>
    <w:pPr>
      <w:spacing w:line="398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Other1">
    <w:name w:val="Other|1"/>
    <w:basedOn w:val="a"/>
    <w:qFormat/>
    <w:pPr>
      <w:spacing w:line="398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paragraph" w:customStyle="1" w:styleId="WPSOffice1">
    <w:name w:val="WPSOffice手动目录 1"/>
    <w:qFormat/>
  </w:style>
  <w:style w:type="paragraph" w:customStyle="1" w:styleId="11">
    <w:name w:val="样式1"/>
    <w:basedOn w:val="a"/>
    <w:qFormat/>
  </w:style>
  <w:style w:type="character" w:customStyle="1" w:styleId="hover19">
    <w:name w:val="hover19"/>
    <w:basedOn w:val="a0"/>
    <w:qFormat/>
    <w:rPr>
      <w:color w:val="009DFF"/>
    </w:rPr>
  </w:style>
  <w:style w:type="character" w:customStyle="1" w:styleId="hover20">
    <w:name w:val="hover20"/>
    <w:basedOn w:val="a0"/>
    <w:qFormat/>
    <w:rPr>
      <w:color w:val="009DFF"/>
    </w:rPr>
  </w:style>
  <w:style w:type="character" w:customStyle="1" w:styleId="first-child2">
    <w:name w:val="first-child2"/>
    <w:basedOn w:val="a0"/>
    <w:qFormat/>
    <w:rPr>
      <w:sz w:val="13"/>
      <w:szCs w:val="13"/>
    </w:rPr>
  </w:style>
  <w:style w:type="character" w:customStyle="1" w:styleId="colheader">
    <w:name w:val="colheader"/>
    <w:basedOn w:val="a0"/>
    <w:qFormat/>
  </w:style>
  <w:style w:type="character" w:customStyle="1" w:styleId="ant-tree-iconele">
    <w:name w:val="ant-tree-iconele"/>
    <w:basedOn w:val="a0"/>
    <w:qFormat/>
  </w:style>
  <w:style w:type="character" w:customStyle="1" w:styleId="ant-radio">
    <w:name w:val="ant-radio+*"/>
    <w:basedOn w:val="a0"/>
    <w:qFormat/>
  </w:style>
  <w:style w:type="character" w:customStyle="1" w:styleId="htnestinglevelempty">
    <w:name w:val="ht_nestinglevel_empty"/>
    <w:basedOn w:val="a0"/>
    <w:qFormat/>
  </w:style>
  <w:style w:type="character" w:customStyle="1" w:styleId="ant-select-tree-iconele">
    <w:name w:val="ant-select-tree-iconele"/>
    <w:basedOn w:val="a0"/>
    <w:qFormat/>
  </w:style>
  <w:style w:type="character" w:customStyle="1" w:styleId="wea-thumbnails-doc-content-subtitle">
    <w:name w:val="wea-thumbnails-doc-content-subtitle"/>
    <w:basedOn w:val="a0"/>
    <w:qFormat/>
    <w:rPr>
      <w:color w:val="9A9A9A"/>
    </w:rPr>
  </w:style>
  <w:style w:type="character" w:customStyle="1" w:styleId="ant-select-tree-checkbox2">
    <w:name w:val="ant-select-tree-checkbox2"/>
    <w:basedOn w:val="a0"/>
    <w:qFormat/>
  </w:style>
  <w:style w:type="character" w:customStyle="1" w:styleId="ant-select-tree-switcher">
    <w:name w:val="ant-select-tree-switcher"/>
    <w:basedOn w:val="a0"/>
    <w:qFormat/>
  </w:style>
  <w:style w:type="character" w:customStyle="1" w:styleId="ant-tree-switcher">
    <w:name w:val="ant-tree-switcher"/>
    <w:basedOn w:val="a0"/>
    <w:qFormat/>
  </w:style>
  <w:style w:type="character" w:customStyle="1" w:styleId="ant-tree-checkbox6">
    <w:name w:val="ant-tree-checkbox6"/>
    <w:basedOn w:val="a0"/>
    <w:qFormat/>
  </w:style>
  <w:style w:type="character" w:customStyle="1" w:styleId="button">
    <w:name w:val="button"/>
    <w:basedOn w:val="a0"/>
    <w:qFormat/>
  </w:style>
  <w:style w:type="character" w:customStyle="1" w:styleId="htnestinglevel">
    <w:name w:val="ht_nestinglevel"/>
    <w:basedOn w:val="a0"/>
    <w:qFormat/>
  </w:style>
  <w:style w:type="character" w:customStyle="1" w:styleId="selected11">
    <w:name w:val="selected11"/>
    <w:basedOn w:val="a0"/>
    <w:qFormat/>
  </w:style>
  <w:style w:type="character" w:customStyle="1" w:styleId="selected12">
    <w:name w:val="selected12"/>
    <w:basedOn w:val="a0"/>
    <w:qFormat/>
  </w:style>
  <w:style w:type="character" w:customStyle="1" w:styleId="selected13">
    <w:name w:val="selected13"/>
    <w:basedOn w:val="a0"/>
    <w:qFormat/>
  </w:style>
  <w:style w:type="character" w:customStyle="1" w:styleId="ant-select-tree-checkbox">
    <w:name w:val="ant-select-tree-checkbox"/>
    <w:basedOn w:val="a0"/>
    <w:qFormat/>
  </w:style>
  <w:style w:type="character" w:customStyle="1" w:styleId="ant-tree-checkbox">
    <w:name w:val="ant-tree-checkbox"/>
    <w:basedOn w:val="a0"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15"/>
    <w:basedOn w:val="a0"/>
    <w:qFormat/>
    <w:rPr>
      <w:rFonts w:ascii="Times New Roman" w:hAnsi="Times New Roman" w:cs="Times New Roman" w:hint="default"/>
    </w:rPr>
  </w:style>
  <w:style w:type="character" w:customStyle="1" w:styleId="100">
    <w:name w:val="10"/>
    <w:basedOn w:val="a0"/>
    <w:qFormat/>
    <w:rPr>
      <w:rFonts w:ascii="Times New Roman" w:hAnsi="Times New Roman" w:cs="Times New Roman" w:hint="default"/>
    </w:rPr>
  </w:style>
  <w:style w:type="paragraph" w:styleId="af6">
    <w:name w:val="No Spacing"/>
    <w:basedOn w:val="a"/>
    <w:link w:val="af7"/>
    <w:uiPriority w:val="1"/>
    <w:qFormat/>
    <w:pPr>
      <w:widowControl/>
      <w:spacing w:before="120"/>
      <w:jc w:val="center"/>
    </w:pPr>
    <w:rPr>
      <w:rFonts w:ascii="Calibri" w:eastAsia="宋体" w:hAnsi="Calibri" w:cs="Times New Roman"/>
      <w:iCs/>
      <w:color w:val="17365D"/>
      <w:kern w:val="0"/>
      <w:szCs w:val="20"/>
    </w:rPr>
  </w:style>
  <w:style w:type="character" w:customStyle="1" w:styleId="af7">
    <w:name w:val="无间隔 字符"/>
    <w:link w:val="af6"/>
    <w:uiPriority w:val="1"/>
    <w:qFormat/>
    <w:rPr>
      <w:rFonts w:ascii="Calibri" w:hAnsi="Calibri"/>
      <w:iCs/>
      <w:color w:val="17365D"/>
      <w:sz w:val="21"/>
    </w:rPr>
  </w:style>
  <w:style w:type="character" w:customStyle="1" w:styleId="40">
    <w:name w:val="标题 4 字符"/>
    <w:basedOn w:val="a0"/>
    <w:link w:val="4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a6">
    <w:name w:val="正文首行缩进 字符"/>
    <w:basedOn w:val="a0"/>
    <w:link w:val="a4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8">
    <w:name w:val="批注文字 字符"/>
    <w:basedOn w:val="a0"/>
    <w:link w:val="a7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8"/>
    <w:link w:val="ac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905</Words>
  <Characters>5163</Characters>
  <Application>Microsoft Office Word</Application>
  <DocSecurity>0</DocSecurity>
  <Lines>43</Lines>
  <Paragraphs>12</Paragraphs>
  <ScaleCrop>false</ScaleCrop>
  <Company> </Company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13</cp:revision>
  <cp:lastPrinted>2023-02-14T06:53:00Z</cp:lastPrinted>
  <dcterms:created xsi:type="dcterms:W3CDTF">2026-10-12T01:38:00Z</dcterms:created>
  <dcterms:modified xsi:type="dcterms:W3CDTF">2026-10-12T06:13:00Z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768EC6EF80124EC3AEE8C193CC1B0134_13</vt:lpwstr>
  </property>
  <property fmtid="{D5CDD505-2E9C-101B-9397-08002B2CF9AE}" pid="4" name="KSOTemplateDocerSaveRecord">
    <vt:lpwstr>eyJoZGlkIjoiODcxY2MzNGZmNDE4ZWFmMDE2YTEwNzY0ODJlNWRhZjAiLCJ1c2VySWQiOiIxMTUxNzQyODEyIn0=</vt:lpwstr>
  </property>
</Properties>
</file>